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157</w:t>
      </w:r>
    </w:p>
    <w:p>
      <w:r>
        <w:t>Bundesgericht (BGE), 1981-07-10, FR</w:t>
      </w:r>
    </w:p>
    <w:p>
      <w:r>
        <w:rPr>
          <w:b/>
        </w:rPr>
        <w:t xml:space="preserve">Quelle: </w:t>
      </w:r>
      <w:r>
        <w:t>https://mcp.opencaselaw.ch/entscheid/bge_107 V 157</w:t>
      </w:r>
    </w:p>
    <w:p>
      <w:r>
        <w:t>FR: ATF 107 V 157</w:t>
      </w:r>
    </w:p>
    <w:p>
      <w:r>
        <w:t>IT: DTF 107 V 157</w:t>
      </w:r>
    </w:p>
    <w:p>
      <w:pPr>
        <w:pStyle w:val="Heading2"/>
      </w:pPr>
      <w:r>
        <w:t>Regeste</w:t>
      </w:r>
    </w:p>
    <w:p>
      <w:r>
        <w:t>Regeste Art. 52 und 70 AHVG, 66 IVG, 128 und 130 OG. Schadenersatzforderung eines Versicherten für Unkosten, die ihm wegen der falschen Auskunft einer Ausgleichskasse erwachsen sind: Unzulässigkeit dieser Forderung vor dem Eidg. Versicherungsgericht (Erw. 1). Art. 28 Abs. 1 IVG und Art. 8 lit. e des italienisch-schweizerischen Abkommens über Soziale Sicherheit. - Voraussetzungen des Vertrauensschutzes (Erw. 2). - Schutz des guten Glaubens eines italienischen Staatsangehörigen, der in seine Heimat zurückgekehrt ist, nachdem er von der Ausgleichskasse die (falsche) Auskunft erhalten hat, seine Härtefallrente werde ihm auch in Italien ausbezahlt werden (Erw. 3).</w:t>
      </w:r>
    </w:p>
    <w:p>
      <w:pPr>
        <w:pStyle w:val="Heading2"/>
      </w:pPr>
      <w:r>
        <w:t>Erwägungen</w:t>
      </w:r>
    </w:p>
    <w:p>
      <w:r>
        <w:rPr>
          <w:b/>
        </w:rPr>
        <w:t>E. 1</w:t>
      </w:r>
    </w:p>
    <w:p>
      <w:r>
        <w:t>Le recours formé le 27 juillet 1979 contre la décision du 9 juillet 1979, relative à la suppression de la demi-rente pour cas pénible, tendait soit à la suppression de l'interruption de la demi-rente, soit à sa transformation de prestation pour cas pénible en prestation normale. Le second terme de l'alternative tendait à modifier sur le fond la décision du 24 octobre 1978, qui n'était irrégulière qu'en la forme et contre laquelle un recours avait été déclaré irrecevable par un arrêt passé en force du 30 mai 1979. C'est à juste titre que le premier juge a rejeté cette conclusion-là et que l'assuré ne l'a pas renouvelée dans son recours de droit administratif. Avec beaucoup de bonne volonté, on peut admettre que le recourant a manifesté dans l'instance fédérale le désir de recevoir une demi-rente pour la période de décembre 1978 à avril 1979. Cette conclusion-là est recevable en vertu de l' art. 69 LAI . Quant aux autres conclusions prises dans le recours de droit administratif relatives à une action en dommages-intérêts, en raison de dépenses telles que des frais de déménagement, elles concernent une matière qui ne relève pas de l'assurance-sociale mais de la responsabilité des caisses de compensation et de leurs agents. Elles sont, par conséquent, irrecevables devant le Tribunal fédéral des assurances ( art. 128 et 130 OJ ). La législation sociale applicable en l'espèce ne règle que la réparation des dommages causés à l'institution ( art. 66 LAI , art. 52 et 70 LAVS ), non la réparation des dommages causés aux assurés ou aux tiers.</w:t>
      </w:r>
    </w:p>
    <w:p>
      <w:r>
        <w:rPr>
          <w:b/>
        </w:rPr>
        <w:t>E. 2</w:t>
      </w:r>
    </w:p>
    <w:p>
      <w:r>
        <w:t>Le principe de la bonne foi régit les rapports entre administration et administrés. C'est ainsi qu'un renseignement ou une décision erronés peuvent obliger l'administration à consentir à un administré un avantage contraire à la loi, si les conditions suivantes sont réunies: BGE 107 V 157 S. 161 a)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 que la loi n'ait pas changé depuis le moment où le renseignement a été donné ( ATF 106 V 143 ).</w:t>
      </w:r>
    </w:p>
    <w:p>
      <w:r>
        <w:rPr>
          <w:b/>
        </w:rPr>
        <w:t>E. 3</w:t>
      </w:r>
    </w:p>
    <w:p>
      <w:r>
        <w:t>Le recourant Fiore De Cicco remplit les cinq conditions énumérées sous ch. 2 let. a-e ci-dessus. S'agissant de la troisième d'entre elles (let. c), le motif dont se prévaut l'Office fédéral des assurances sociales pour mettre en doute la bonne foi du recourant n'est pas convaincant. Quant à la quatrième (let. d), il faut relever que le lésé a été amené, par le renseignement faux qu'il a obtenu de l'autorité compétente, à quitter la Suisse pour l'Italie, ce qu'il n'aurait pas fait s'il avait su qu'un tel transfert de domicile entraînerait la suppression de sa demi-rente de l'assurance-invalidité et des quatre demi-rentes complémentaires. La preuve qu'il ne serait pas parti, c'est qu'il est revenu en Suisse afin de recevoir de nouveau les prestations en cause. Son retour date du 7 mai 1979, alors qu'il a appris vers le milieu de janvier que la rente était supprimée. Il a donc mis fin dans un délai convenable à sa situation irrégulière, si l'on songe à la difficulté d'en comprendre la gravité puis de déplacer une famille de cinq personnes.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